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C7" w:rsidRDefault="00E132C7" w:rsidP="00E132C7">
      <w:pPr>
        <w:pStyle w:val="a3"/>
        <w:jc w:val="center"/>
        <w:rPr>
          <w:rFonts w:ascii="Verdana" w:hAnsi="Verdana"/>
          <w:color w:val="68676D"/>
          <w:sz w:val="16"/>
          <w:szCs w:val="16"/>
        </w:rPr>
      </w:pPr>
      <w:r>
        <w:rPr>
          <w:rStyle w:val="a4"/>
          <w:color w:val="006400"/>
          <w:sz w:val="27"/>
          <w:szCs w:val="27"/>
        </w:rPr>
        <w:t>Материально-техническое обеспечение образовательного процесса, присмотра и ухода за детьми в ДОУ соответствует санитарно-эпидемиологическим требованиям и нормативам, правилам пожарной безопасности:</w:t>
      </w:r>
    </w:p>
    <w:p w:rsidR="00E132C7" w:rsidRDefault="00E132C7" w:rsidP="00E132C7">
      <w:pPr>
        <w:pStyle w:val="a3"/>
        <w:jc w:val="both"/>
        <w:rPr>
          <w:rFonts w:ascii="Verdana" w:hAnsi="Verdana"/>
          <w:color w:val="68676D"/>
          <w:sz w:val="16"/>
          <w:szCs w:val="16"/>
        </w:rPr>
      </w:pPr>
      <w:r>
        <w:rPr>
          <w:rStyle w:val="a4"/>
          <w:color w:val="000080"/>
          <w:sz w:val="27"/>
          <w:szCs w:val="27"/>
        </w:rPr>
        <w:t>Территория ДОУ</w:t>
      </w:r>
    </w:p>
    <w:p w:rsidR="00E132C7" w:rsidRDefault="00E132C7" w:rsidP="00E132C7">
      <w:pPr>
        <w:pStyle w:val="a3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7"/>
          <w:szCs w:val="27"/>
        </w:rPr>
        <w:t>По периметру территория ограждена забором. На территории ДОУ выделяются игровая и хозяйственная зоны. Зона игровой терр</w:t>
      </w:r>
      <w:r w:rsidR="00284CAC">
        <w:rPr>
          <w:color w:val="68676D"/>
          <w:sz w:val="27"/>
          <w:szCs w:val="27"/>
        </w:rPr>
        <w:t>итории включает в себя групповую площадку.</w:t>
      </w:r>
      <w:r>
        <w:rPr>
          <w:color w:val="68676D"/>
          <w:sz w:val="27"/>
          <w:szCs w:val="27"/>
        </w:rPr>
        <w:t xml:space="preserve"> Покрытие групповых площадок травяное, с утрамбованным грунтом, беспыльное. Для защиты детей от солнца и осадков на территории каждой групповой площадки имеется теневой навес.</w:t>
      </w:r>
    </w:p>
    <w:p w:rsidR="00E132C7" w:rsidRDefault="00E132C7" w:rsidP="00E132C7">
      <w:pPr>
        <w:pStyle w:val="a3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7"/>
          <w:szCs w:val="27"/>
        </w:rPr>
        <w:t>Игровые площадки для детей оборудованы с учетом их росто-возрастных особенностей. Игровое оборудование соответствует возрасту детей и изготовлено из материалов, не оказывающих вредного воздействия на человека. Хозяйственная зона располагается со стороны входа в помещения кухни и имеет самостоятельный вход.</w:t>
      </w:r>
    </w:p>
    <w:p w:rsidR="00E132C7" w:rsidRDefault="00E132C7" w:rsidP="00E132C7">
      <w:pPr>
        <w:pStyle w:val="a3"/>
        <w:jc w:val="both"/>
        <w:rPr>
          <w:rFonts w:ascii="Verdana" w:hAnsi="Verdana"/>
          <w:color w:val="68676D"/>
          <w:sz w:val="16"/>
          <w:szCs w:val="16"/>
        </w:rPr>
      </w:pPr>
      <w:r>
        <w:rPr>
          <w:rStyle w:val="a4"/>
          <w:color w:val="000080"/>
          <w:sz w:val="27"/>
          <w:szCs w:val="27"/>
        </w:rPr>
        <w:t>Здания, помещение, оборудование и их содержание</w:t>
      </w:r>
    </w:p>
    <w:p w:rsidR="00E132C7" w:rsidRDefault="00284CAC" w:rsidP="00E132C7">
      <w:pPr>
        <w:pStyle w:val="a3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7"/>
          <w:szCs w:val="27"/>
        </w:rPr>
        <w:t xml:space="preserve"> Здание</w:t>
      </w:r>
      <w:r w:rsidR="00E132C7">
        <w:rPr>
          <w:color w:val="68676D"/>
          <w:sz w:val="27"/>
          <w:szCs w:val="27"/>
        </w:rPr>
        <w:t xml:space="preserve"> дошкольной образовательной организации одноэтажные. Имеется следующий набор помещений: групповые ячейки (изолированные помещения для каждой детской группы); кабинет зав</w:t>
      </w:r>
      <w:r>
        <w:rPr>
          <w:color w:val="68676D"/>
          <w:sz w:val="27"/>
          <w:szCs w:val="27"/>
        </w:rPr>
        <w:t xml:space="preserve">едующего; сопутствующие помещения </w:t>
      </w:r>
      <w:r w:rsidR="00E132C7">
        <w:rPr>
          <w:color w:val="68676D"/>
          <w:sz w:val="27"/>
          <w:szCs w:val="27"/>
        </w:rPr>
        <w:t xml:space="preserve"> постирочная, гладильная, </w:t>
      </w:r>
      <w:r w:rsidR="000C5C1C">
        <w:rPr>
          <w:color w:val="68676D"/>
          <w:sz w:val="27"/>
          <w:szCs w:val="27"/>
        </w:rPr>
        <w:t xml:space="preserve">пищеблок); </w:t>
      </w:r>
      <w:bookmarkStart w:id="0" w:name="_GoBack"/>
      <w:bookmarkEnd w:id="0"/>
      <w:r w:rsidR="00E132C7">
        <w:rPr>
          <w:color w:val="68676D"/>
          <w:sz w:val="27"/>
          <w:szCs w:val="27"/>
        </w:rPr>
        <w:t> 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 и буфетная (для подготовки готовых блюд к раздаче и мытья столовой посуды), туалетная (совмещенная с умывальной).</w:t>
      </w:r>
    </w:p>
    <w:p w:rsidR="00E132C7" w:rsidRDefault="00E132C7" w:rsidP="00E132C7">
      <w:pPr>
        <w:pStyle w:val="a3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7"/>
          <w:szCs w:val="27"/>
        </w:rPr>
        <w:t>Для временной изоляции заболевших используется помещение медицинского кабинета. Пищеблок размещен в отдельно стоящем здании. Питание детей орг</w:t>
      </w:r>
      <w:r w:rsidR="00284CAC">
        <w:rPr>
          <w:color w:val="68676D"/>
          <w:sz w:val="27"/>
          <w:szCs w:val="27"/>
        </w:rPr>
        <w:t>анизуется в помещении буфетной.</w:t>
      </w:r>
    </w:p>
    <w:p w:rsidR="00E132C7" w:rsidRDefault="00E132C7" w:rsidP="00E132C7">
      <w:pPr>
        <w:pStyle w:val="a3"/>
        <w:jc w:val="both"/>
        <w:rPr>
          <w:rFonts w:ascii="Verdana" w:hAnsi="Verdana"/>
          <w:color w:val="68676D"/>
          <w:sz w:val="16"/>
          <w:szCs w:val="16"/>
        </w:rPr>
      </w:pPr>
      <w:r>
        <w:rPr>
          <w:rStyle w:val="a4"/>
          <w:color w:val="000080"/>
          <w:sz w:val="27"/>
          <w:szCs w:val="27"/>
        </w:rPr>
        <w:t>Внутренняя отделка помещений</w:t>
      </w:r>
    </w:p>
    <w:p w:rsidR="00E132C7" w:rsidRDefault="00E132C7" w:rsidP="00E132C7">
      <w:pPr>
        <w:pStyle w:val="a3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7"/>
          <w:szCs w:val="27"/>
        </w:rPr>
        <w:t>Все полы помещений покрыты сертифицированным линолеумом. Стены помещений гладкие, без признаков поражений грибком и имеют отделку, допускающую уборку влажным способом и дезинфекцию. Отделка помещений медицинского блока соответствует санитарно-эпидемиологическим требованиям, предъявляемым к медицинским организациям.</w:t>
      </w:r>
    </w:p>
    <w:p w:rsidR="00E132C7" w:rsidRDefault="00E132C7" w:rsidP="00E132C7">
      <w:pPr>
        <w:pStyle w:val="a3"/>
        <w:jc w:val="both"/>
        <w:rPr>
          <w:rFonts w:ascii="Verdana" w:hAnsi="Verdana"/>
          <w:color w:val="68676D"/>
          <w:sz w:val="16"/>
          <w:szCs w:val="16"/>
        </w:rPr>
      </w:pPr>
      <w:r>
        <w:rPr>
          <w:rStyle w:val="a4"/>
          <w:color w:val="000080"/>
          <w:sz w:val="27"/>
          <w:szCs w:val="27"/>
        </w:rPr>
        <w:t>Размещение оборудования в помещениях</w:t>
      </w:r>
    </w:p>
    <w:p w:rsidR="00E132C7" w:rsidRDefault="00E132C7" w:rsidP="00E132C7">
      <w:pPr>
        <w:pStyle w:val="a3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7"/>
          <w:szCs w:val="27"/>
        </w:rPr>
        <w:t xml:space="preserve">Оборудование основных помещений соответствует росту и возрасту детей. Функциональные размеры используемой детской мебели для сидения и столов соответствуют обязательным требованиям, установленным техническими </w:t>
      </w:r>
      <w:r>
        <w:rPr>
          <w:color w:val="68676D"/>
          <w:sz w:val="27"/>
          <w:szCs w:val="27"/>
        </w:rPr>
        <w:lastRenderedPageBreak/>
        <w:t>регламентами или (и) национальными стандартами. Раздевальные оборудованы шкафами для верхней одежды детей. Шкафы для одежды и обуви оборудованы индивидуальными ячейками-полками для головных уборов и крючками для верхней одежды. В каждой группе имеются столы и стулья по числу детей. Подбор мебели для детей проводится с учетом роста детей. В к</w:t>
      </w:r>
      <w:r w:rsidR="000C5C1C">
        <w:rPr>
          <w:color w:val="68676D"/>
          <w:sz w:val="27"/>
          <w:szCs w:val="27"/>
        </w:rPr>
        <w:t xml:space="preserve">аждой группе имеются </w:t>
      </w:r>
      <w:r>
        <w:rPr>
          <w:color w:val="68676D"/>
          <w:sz w:val="27"/>
          <w:szCs w:val="27"/>
        </w:rPr>
        <w:t xml:space="preserve"> меловые доски, которые используемыми для письма, хорошо очищаются влажной губкой.</w:t>
      </w:r>
    </w:p>
    <w:p w:rsidR="00E132C7" w:rsidRDefault="00E132C7" w:rsidP="00E132C7">
      <w:pPr>
        <w:pStyle w:val="a3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7"/>
          <w:szCs w:val="27"/>
        </w:rPr>
        <w:t>Используются игрушки, безвредные для здоровья детей, отвечающие санитарно-эпидемиологическим требованиям. Мягконабивные игрушки для детей дошкольного возраста используются только в качестве дидактических пособий.</w:t>
      </w:r>
    </w:p>
    <w:p w:rsidR="00E132C7" w:rsidRDefault="00E132C7" w:rsidP="00E132C7">
      <w:pPr>
        <w:pStyle w:val="a3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7"/>
          <w:szCs w:val="27"/>
        </w:rPr>
        <w:t>Размещение аквариумов, животных, птиц в помещениях групповых не допускается.</w:t>
      </w:r>
    </w:p>
    <w:p w:rsidR="00E132C7" w:rsidRDefault="00E132C7" w:rsidP="00E132C7">
      <w:pPr>
        <w:pStyle w:val="a3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7"/>
          <w:szCs w:val="27"/>
        </w:rPr>
        <w:t>Кровати соответствуют росту детей.</w:t>
      </w:r>
    </w:p>
    <w:p w:rsidR="00E132C7" w:rsidRDefault="00E132C7" w:rsidP="00E132C7">
      <w:pPr>
        <w:pStyle w:val="a3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7"/>
          <w:szCs w:val="27"/>
        </w:rPr>
        <w:t>Дети обеспечиваются индивидуальными постельными принадлежностями, полотенцами, предметами личной гигиены.</w:t>
      </w:r>
    </w:p>
    <w:p w:rsidR="00E132C7" w:rsidRDefault="00E132C7" w:rsidP="00E132C7">
      <w:pPr>
        <w:pStyle w:val="a3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7"/>
          <w:szCs w:val="27"/>
        </w:rPr>
        <w:t>Туалетные помещения делят на умывальную зону и зону санитарных узлов. В умывальной зоне размещаются детск</w:t>
      </w:r>
      <w:r w:rsidR="000C5C1C">
        <w:rPr>
          <w:color w:val="68676D"/>
          <w:sz w:val="27"/>
          <w:szCs w:val="27"/>
        </w:rPr>
        <w:t>ие умывальники.</w:t>
      </w:r>
      <w:r>
        <w:rPr>
          <w:color w:val="68676D"/>
          <w:sz w:val="27"/>
          <w:szCs w:val="27"/>
        </w:rPr>
        <w:t xml:space="preserve"> В зоне санитарных узлов размещаются унитазы. В туалетных к умывальным раковинам обеспечивается подводка горячей и холодной воды, подача воды осуществляется через смеситель. В туалетных помещениях (рядом с умывальниками или напротив них) установлены вешалки для детских полотенец по списочному составу детей, хозяйственный шкаф и помещение для уборочного инвентаря.</w:t>
      </w:r>
    </w:p>
    <w:p w:rsidR="00E132C7" w:rsidRDefault="00E132C7" w:rsidP="00E132C7">
      <w:pPr>
        <w:pStyle w:val="a3"/>
        <w:jc w:val="both"/>
        <w:rPr>
          <w:rFonts w:ascii="Verdana" w:hAnsi="Verdana"/>
          <w:color w:val="68676D"/>
          <w:sz w:val="16"/>
          <w:szCs w:val="16"/>
        </w:rPr>
      </w:pPr>
      <w:r>
        <w:rPr>
          <w:rStyle w:val="a4"/>
          <w:color w:val="000080"/>
          <w:sz w:val="27"/>
          <w:szCs w:val="27"/>
        </w:rPr>
        <w:t>Естественное и искусственное освещение помещений</w:t>
      </w:r>
    </w:p>
    <w:p w:rsidR="00E132C7" w:rsidRDefault="00E132C7" w:rsidP="00E132C7">
      <w:pPr>
        <w:pStyle w:val="a3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7"/>
          <w:szCs w:val="27"/>
        </w:rPr>
        <w:t>Уровни естественного и искусственного освещения соответствуют санитарно-эпидемиологическим требованиям к естественному, искусственному и совмещенному освещению жилых и общественных зданий. Световые проемы в групповых оборудованы регулируемыми солнцезащитными устройствами. В качестве солнцезащитных устройств используются шторы. При проведении занятий в условиях недостаточного естественного освещения имеется дополнительное искусственное освещение. Осветительные приборы в помещениях для детей имеют защитную светорассеивающую арматуру.</w:t>
      </w:r>
    </w:p>
    <w:p w:rsidR="00E132C7" w:rsidRDefault="00E132C7" w:rsidP="00E132C7">
      <w:pPr>
        <w:pStyle w:val="a3"/>
        <w:jc w:val="both"/>
        <w:rPr>
          <w:rFonts w:ascii="Verdana" w:hAnsi="Verdana"/>
          <w:color w:val="68676D"/>
          <w:sz w:val="16"/>
          <w:szCs w:val="16"/>
        </w:rPr>
      </w:pPr>
      <w:r>
        <w:rPr>
          <w:rStyle w:val="a4"/>
          <w:color w:val="000080"/>
          <w:sz w:val="27"/>
          <w:szCs w:val="27"/>
        </w:rPr>
        <w:t>Отопление и вентиляция</w:t>
      </w:r>
    </w:p>
    <w:p w:rsidR="00E132C7" w:rsidRDefault="00E132C7" w:rsidP="00E132C7">
      <w:pPr>
        <w:pStyle w:val="a3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7"/>
          <w:szCs w:val="27"/>
        </w:rPr>
        <w:t>Здание оборудовано системами отопления в соответствии с требованиями, предъявляемыми к отоплению, в общественных зданиях и сооружениях. Относительная влажность воздуха в помещениях с пребыванием детей в пределах 40 % – 60 %, в производственных помещениях пищеблока и постирочной – не более 70 %. Все помещения ежедневно проветриваются.</w:t>
      </w:r>
    </w:p>
    <w:p w:rsidR="00E132C7" w:rsidRDefault="00E132C7" w:rsidP="00E132C7">
      <w:pPr>
        <w:pStyle w:val="a3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7"/>
          <w:szCs w:val="27"/>
        </w:rPr>
        <w:lastRenderedPageBreak/>
        <w:t>Контроль за температурой воздуха во всех основных помещениях пребывания детей осуществляется с помощью бытовых термометров.</w:t>
      </w:r>
    </w:p>
    <w:p w:rsidR="00E132C7" w:rsidRDefault="00E132C7" w:rsidP="00E132C7">
      <w:pPr>
        <w:pStyle w:val="a3"/>
        <w:jc w:val="both"/>
        <w:rPr>
          <w:rFonts w:ascii="Verdana" w:hAnsi="Verdana"/>
          <w:color w:val="68676D"/>
          <w:sz w:val="16"/>
          <w:szCs w:val="16"/>
        </w:rPr>
      </w:pPr>
      <w:r>
        <w:rPr>
          <w:rStyle w:val="a4"/>
          <w:color w:val="000080"/>
          <w:sz w:val="27"/>
          <w:szCs w:val="27"/>
        </w:rPr>
        <w:t>Водоснабжение и канализация</w:t>
      </w:r>
    </w:p>
    <w:p w:rsidR="00E132C7" w:rsidRDefault="00E132C7" w:rsidP="00E132C7">
      <w:pPr>
        <w:pStyle w:val="a3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7"/>
          <w:szCs w:val="27"/>
        </w:rPr>
        <w:t>Здание оборудовано системой холодного водоснабжения, горячего водоснабжения с помощью водонагревателей, канализац</w:t>
      </w:r>
      <w:r w:rsidR="000C5C1C">
        <w:rPr>
          <w:color w:val="68676D"/>
          <w:sz w:val="27"/>
          <w:szCs w:val="27"/>
        </w:rPr>
        <w:t xml:space="preserve">ией. Умывальники </w:t>
      </w:r>
      <w:r>
        <w:rPr>
          <w:color w:val="68676D"/>
          <w:sz w:val="27"/>
          <w:szCs w:val="27"/>
        </w:rPr>
        <w:t xml:space="preserve"> обеспечиваются смесителями и краны для хозяйственных нужд.</w:t>
      </w:r>
    </w:p>
    <w:p w:rsidR="00E132C7" w:rsidRDefault="00E132C7" w:rsidP="00E132C7">
      <w:pPr>
        <w:pStyle w:val="a3"/>
        <w:jc w:val="both"/>
        <w:rPr>
          <w:rFonts w:ascii="Verdana" w:hAnsi="Verdana"/>
          <w:color w:val="68676D"/>
          <w:sz w:val="16"/>
          <w:szCs w:val="16"/>
        </w:rPr>
      </w:pPr>
      <w:r>
        <w:rPr>
          <w:rStyle w:val="a4"/>
          <w:color w:val="000080"/>
          <w:sz w:val="27"/>
          <w:szCs w:val="27"/>
        </w:rPr>
        <w:t>Условия для детей с ограниченными возможностями здоровья</w:t>
      </w:r>
    </w:p>
    <w:p w:rsidR="00E132C7" w:rsidRDefault="00E132C7" w:rsidP="00E132C7">
      <w:pPr>
        <w:pStyle w:val="a3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7"/>
          <w:szCs w:val="27"/>
        </w:rPr>
        <w:t>Территория учреждения имеет удобный подъездной путь.  Объекты (деревья, кустарники, столбы и другие), находящиеся на территории ДОУ, не являются препятствием для ходьбы, прогулки и игр детей. В вечернее время на территории ДОУ обеспечено искусственное освещение. Двери входов в здание ДОУ, помещения для детей при открывании не создают препятствия для прохода детей.</w:t>
      </w:r>
    </w:p>
    <w:p w:rsidR="00E132C7" w:rsidRDefault="00E132C7" w:rsidP="00E132C7">
      <w:pPr>
        <w:pStyle w:val="a3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7"/>
          <w:szCs w:val="27"/>
        </w:rPr>
        <w:t>В помещениях окраска дверей и дверных наличников, выступающих частей зданий, границ ступеней, мебели и оборудования контрастирует с окраской стен. Помещения групповых оборудованы комбинированной системой искусственного освещения.</w:t>
      </w:r>
    </w:p>
    <w:p w:rsidR="00E132C7" w:rsidRDefault="00E132C7" w:rsidP="00E132C7">
      <w:pPr>
        <w:pStyle w:val="a3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7"/>
          <w:szCs w:val="27"/>
        </w:rPr>
        <w:t>Детская мебель и оборудование помещений безвредны для здоровья детей и учитывают специфику организации педагогического процесса и лечебно-восстановительных мероприятий, а также соответствуют росту и возрасту детей.</w:t>
      </w:r>
    </w:p>
    <w:p w:rsidR="00E132C7" w:rsidRDefault="00E132C7" w:rsidP="00E132C7">
      <w:pPr>
        <w:pStyle w:val="a3"/>
        <w:jc w:val="both"/>
        <w:rPr>
          <w:rFonts w:ascii="Verdana" w:hAnsi="Verdana"/>
          <w:color w:val="68676D"/>
          <w:sz w:val="16"/>
          <w:szCs w:val="16"/>
        </w:rPr>
      </w:pPr>
      <w:r>
        <w:rPr>
          <w:rStyle w:val="a4"/>
          <w:color w:val="000080"/>
          <w:sz w:val="27"/>
          <w:szCs w:val="27"/>
        </w:rPr>
        <w:t>Оборудование пищеблока, инвентаря, посуды</w:t>
      </w:r>
    </w:p>
    <w:p w:rsidR="00E132C7" w:rsidRDefault="00E132C7" w:rsidP="00E132C7">
      <w:pPr>
        <w:pStyle w:val="a3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7"/>
          <w:szCs w:val="27"/>
        </w:rPr>
        <w:t>Пищеблок оборудован необходимым технологическим, холодильным и моечным оборудованием. Технологическое оборудование, инвентарь, посуда, тара изготовлены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</w:t>
      </w:r>
    </w:p>
    <w:p w:rsidR="00E132C7" w:rsidRDefault="00E132C7" w:rsidP="00E132C7">
      <w:pPr>
        <w:pStyle w:val="a3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7"/>
          <w:szCs w:val="27"/>
        </w:rPr>
        <w:t>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чашки) изготовлена из фаянса, фарфора, а столовые приборы (ложки, вилки, ножи) – из нержавеющей стали.</w:t>
      </w:r>
    </w:p>
    <w:p w:rsidR="00E132C7" w:rsidRDefault="00E132C7" w:rsidP="00E132C7">
      <w:pPr>
        <w:pStyle w:val="a3"/>
        <w:jc w:val="both"/>
        <w:rPr>
          <w:rFonts w:ascii="Verdana" w:hAnsi="Verdana"/>
          <w:color w:val="68676D"/>
          <w:sz w:val="16"/>
          <w:szCs w:val="16"/>
        </w:rPr>
      </w:pPr>
      <w:r>
        <w:rPr>
          <w:rStyle w:val="a4"/>
          <w:color w:val="000080"/>
          <w:sz w:val="27"/>
          <w:szCs w:val="27"/>
        </w:rPr>
        <w:t>Условия хранения, приготовления и реализации пищевых продуктов и кулинарных изделий, составление меню</w:t>
      </w:r>
    </w:p>
    <w:p w:rsidR="00E132C7" w:rsidRDefault="00E132C7" w:rsidP="00E132C7">
      <w:pPr>
        <w:pStyle w:val="a3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7"/>
          <w:szCs w:val="27"/>
        </w:rPr>
        <w:t xml:space="preserve">Прием пищевых продуктов и продовольственного сырья в ДОУ осуществляется при наличии документов, подтверждающих их качество и безопасность. Продукция поступает в таре производителя (поставщика). Пищевые продукты хранятся в соответствии с условиями хранения и сроками годности, </w:t>
      </w:r>
      <w:r>
        <w:rPr>
          <w:color w:val="68676D"/>
          <w:sz w:val="27"/>
          <w:szCs w:val="27"/>
        </w:rPr>
        <w:lastRenderedPageBreak/>
        <w:t>установленными предприятием-изготовителем в соответствии с нормативно-технической документацией. Складские помещения для хранения сухих сыпучих продуктов оборудованы приборами для измерения температуры и влажности воздуха.</w:t>
      </w:r>
    </w:p>
    <w:p w:rsidR="00E132C7" w:rsidRDefault="00E132C7" w:rsidP="00E132C7">
      <w:pPr>
        <w:pStyle w:val="a3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7"/>
          <w:szCs w:val="27"/>
        </w:rPr>
        <w:t>Организация питания осуществляется на основе принципов «щадящего питания». При приготовлении блюд соблюдаются щадящие технологии: варка, запекание, припускание, пассерование, тушение, приготовление на пару, приготовление в пароконвектомате. При приготовлении блюд не применяется жарка. Питание организовано в соответствии с примерным меню, утвержденным руководителем ДОУ,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ДОУ. Производство готовых блюд осуществляется в соответствии с технологическими картами, в которых отражена рецептура и технология приготавливаемых блюд и кулинарных изделий.</w:t>
      </w:r>
    </w:p>
    <w:p w:rsidR="00E132C7" w:rsidRDefault="00E132C7" w:rsidP="00E132C7">
      <w:pPr>
        <w:pStyle w:val="a3"/>
        <w:jc w:val="both"/>
        <w:rPr>
          <w:rFonts w:ascii="Verdana" w:hAnsi="Verdana"/>
          <w:color w:val="68676D"/>
          <w:sz w:val="16"/>
          <w:szCs w:val="16"/>
        </w:rPr>
      </w:pPr>
      <w:r>
        <w:rPr>
          <w:rStyle w:val="a4"/>
          <w:color w:val="000080"/>
          <w:sz w:val="27"/>
          <w:szCs w:val="27"/>
        </w:rPr>
        <w:t>Санитарное содержание помещений</w:t>
      </w:r>
    </w:p>
    <w:p w:rsidR="00E132C7" w:rsidRDefault="00E132C7" w:rsidP="00E132C7">
      <w:pPr>
        <w:pStyle w:val="a3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7"/>
          <w:szCs w:val="27"/>
        </w:rPr>
        <w:t>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 Игрушки моют в специально выделенных, промаркированных емкостях. Ковры 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Генеральная уборка всех помещений и оборудования проводится один раз в месяц с применением моющих и дезинфицирующих средств.</w:t>
      </w:r>
    </w:p>
    <w:p w:rsidR="00E132C7" w:rsidRDefault="00E132C7" w:rsidP="00E132C7">
      <w:pPr>
        <w:pStyle w:val="a3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7"/>
          <w:szCs w:val="27"/>
        </w:rPr>
        <w:t>Окна снаружи и изнутри моются по мере загрязнения, но не реже 2 раз в год (весной и осенью). Смена постельного белья, полотенец проводится по мере загрязнения, но не реже одного раза в неделю. Все белье маркируется.</w:t>
      </w:r>
    </w:p>
    <w:p w:rsidR="00E132C7" w:rsidRDefault="00E132C7" w:rsidP="00E132C7">
      <w:pPr>
        <w:pStyle w:val="a3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7"/>
          <w:szCs w:val="27"/>
        </w:rPr>
        <w:t xml:space="preserve">В целях профилактики возникновения и распространения инфекционных заболеваний и пищевых отравлений </w:t>
      </w:r>
      <w:r w:rsidR="000C5C1C">
        <w:rPr>
          <w:color w:val="68676D"/>
          <w:sz w:val="27"/>
          <w:szCs w:val="27"/>
        </w:rPr>
        <w:t>младший воспитатель проводи</w:t>
      </w:r>
      <w:r>
        <w:rPr>
          <w:color w:val="68676D"/>
          <w:sz w:val="27"/>
          <w:szCs w:val="27"/>
        </w:rPr>
        <w:t>т гигиенические и противоэпидемические мероприятия согласно санитарно-гигиеническим требованиям.</w:t>
      </w:r>
    </w:p>
    <w:p w:rsidR="00E132C7" w:rsidRDefault="00E132C7" w:rsidP="00E132C7">
      <w:pPr>
        <w:pStyle w:val="a3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7"/>
          <w:szCs w:val="27"/>
        </w:rPr>
        <w:t>Персонал дошкольных образовательных организаций проходит предварительные и периодические медицинские осмотры, в установленном порядке; аттестацию на знание санитарных норм и правил не реже 1 раза в 2 года, для персонала пищеблока, а также лиц, участвующих в раздаче пищи детям, - не реже 1 раза в год.</w:t>
      </w:r>
    </w:p>
    <w:p w:rsidR="00E132C7" w:rsidRDefault="00E132C7" w:rsidP="00E132C7">
      <w:pPr>
        <w:pStyle w:val="a3"/>
        <w:jc w:val="both"/>
        <w:rPr>
          <w:rFonts w:ascii="Verdana" w:hAnsi="Verdana"/>
          <w:color w:val="68676D"/>
          <w:sz w:val="16"/>
          <w:szCs w:val="16"/>
        </w:rPr>
      </w:pPr>
      <w:r>
        <w:rPr>
          <w:rStyle w:val="a4"/>
          <w:color w:val="000080"/>
          <w:sz w:val="27"/>
          <w:szCs w:val="27"/>
        </w:rPr>
        <w:t>Пожарное состояние помещений</w:t>
      </w:r>
    </w:p>
    <w:p w:rsidR="00E132C7" w:rsidRDefault="000C5C1C" w:rsidP="00E132C7">
      <w:pPr>
        <w:pStyle w:val="a3"/>
        <w:jc w:val="both"/>
        <w:rPr>
          <w:rFonts w:ascii="Verdana" w:hAnsi="Verdana"/>
          <w:color w:val="68676D"/>
          <w:sz w:val="16"/>
          <w:szCs w:val="16"/>
        </w:rPr>
      </w:pPr>
      <w:r>
        <w:rPr>
          <w:color w:val="68676D"/>
          <w:sz w:val="27"/>
          <w:szCs w:val="27"/>
        </w:rPr>
        <w:lastRenderedPageBreak/>
        <w:t xml:space="preserve">В </w:t>
      </w:r>
      <w:r w:rsidR="00E132C7">
        <w:rPr>
          <w:color w:val="68676D"/>
          <w:sz w:val="27"/>
          <w:szCs w:val="27"/>
        </w:rPr>
        <w:t xml:space="preserve"> здании установлена система пожарной сигнализации, имеется план эвакуации при пожаре, эвакуационные выходы, кнопка оповещения о пожаре, первичные средства пожаротушения. Имеется кнопка тревожной сигнализации.</w:t>
      </w:r>
    </w:p>
    <w:p w:rsidR="00573D00" w:rsidRDefault="00573D00"/>
    <w:sectPr w:rsidR="0057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EB"/>
    <w:rsid w:val="000C5C1C"/>
    <w:rsid w:val="00284CAC"/>
    <w:rsid w:val="005427EB"/>
    <w:rsid w:val="00573D00"/>
    <w:rsid w:val="00E1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2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27203-D032-431C-B227-5691E074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2017-02-01T16:53:00Z</dcterms:created>
  <dcterms:modified xsi:type="dcterms:W3CDTF">2017-02-01T17:44:00Z</dcterms:modified>
</cp:coreProperties>
</file>